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03218" w14:textId="77777777" w:rsidR="00CD442F" w:rsidRDefault="00691B27">
      <w:pPr>
        <w:jc w:val="center"/>
      </w:pPr>
      <w:bookmarkStart w:id="0" w:name="_GoBack"/>
      <w:bookmarkEnd w:id="0"/>
      <w:r>
        <w:rPr>
          <w:b/>
          <w:sz w:val="32"/>
        </w:rPr>
        <w:t>STROBE Statement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21"/>
        <w:gridCol w:w="634"/>
        <w:gridCol w:w="4537"/>
        <w:gridCol w:w="1220"/>
        <w:gridCol w:w="3024"/>
      </w:tblGrid>
      <w:tr w:rsidR="00CD442F" w14:paraId="4075EBD6" w14:textId="77777777" w:rsidTr="006367FD">
        <w:trPr>
          <w:cantSplit/>
          <w:tblHeader/>
          <w:jc w:val="center"/>
        </w:trPr>
        <w:tc>
          <w:tcPr>
            <w:tcW w:w="532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1F4E79"/>
            <w:vAlign w:val="center"/>
          </w:tcPr>
          <w:p w14:paraId="7ADE8866" w14:textId="77777777" w:rsidR="00CD442F" w:rsidRDefault="00691B27">
            <w:pPr>
              <w:spacing w:after="0" w:line="240" w:lineRule="auto"/>
              <w:jc w:val="center"/>
            </w:pPr>
            <w:r>
              <w:rPr>
                <w:b/>
                <w:color w:val="FFFFFF"/>
                <w:sz w:val="16"/>
              </w:rPr>
              <w:t>Section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1F4E79"/>
            <w:vAlign w:val="center"/>
          </w:tcPr>
          <w:p w14:paraId="4623AE69" w14:textId="77777777" w:rsidR="00CD442F" w:rsidRDefault="00691B27">
            <w:pPr>
              <w:spacing w:after="0" w:line="240" w:lineRule="auto"/>
              <w:jc w:val="center"/>
            </w:pPr>
            <w:r>
              <w:rPr>
                <w:b/>
                <w:color w:val="FFFFFF"/>
                <w:sz w:val="16"/>
              </w:rPr>
              <w:t>Item No.</w:t>
            </w:r>
          </w:p>
        </w:tc>
        <w:tc>
          <w:tcPr>
            <w:tcW w:w="215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1F4E79"/>
            <w:vAlign w:val="center"/>
          </w:tcPr>
          <w:p w14:paraId="61E6C7A3" w14:textId="77777777" w:rsidR="00CD442F" w:rsidRDefault="00691B27">
            <w:pPr>
              <w:spacing w:after="0" w:line="240" w:lineRule="auto"/>
              <w:jc w:val="center"/>
            </w:pPr>
            <w:r>
              <w:rPr>
                <w:b/>
                <w:color w:val="FFFFFF"/>
                <w:sz w:val="16"/>
              </w:rPr>
              <w:t>Recommendation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1F4E79"/>
            <w:vAlign w:val="center"/>
          </w:tcPr>
          <w:p w14:paraId="6D859BB8" w14:textId="77777777" w:rsidR="00CD442F" w:rsidRDefault="00691B27">
            <w:pPr>
              <w:spacing w:after="0" w:line="240" w:lineRule="auto"/>
              <w:jc w:val="center"/>
            </w:pPr>
            <w:r>
              <w:rPr>
                <w:b/>
                <w:color w:val="FFFFFF"/>
                <w:sz w:val="16"/>
              </w:rPr>
              <w:t>Verified page No(s)</w:t>
            </w:r>
          </w:p>
        </w:tc>
        <w:tc>
          <w:tcPr>
            <w:tcW w:w="143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1F4E79"/>
            <w:vAlign w:val="center"/>
          </w:tcPr>
          <w:p w14:paraId="39B3C413" w14:textId="77777777" w:rsidR="00CD442F" w:rsidRDefault="00691B27">
            <w:pPr>
              <w:spacing w:after="0" w:line="240" w:lineRule="auto"/>
              <w:jc w:val="center"/>
            </w:pPr>
            <w:r>
              <w:rPr>
                <w:b/>
                <w:color w:val="FFFFFF"/>
                <w:sz w:val="16"/>
              </w:rPr>
              <w:t>Location / manuscript evidence</w:t>
            </w:r>
          </w:p>
        </w:tc>
      </w:tr>
      <w:tr w:rsidR="00966B42" w14:paraId="3D09FB74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6E54FE8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Title and abstract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6371E9F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1(a)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B9E7B1A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Indicate the study's design with a commonly used term in the title or the abstract.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9E556E7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1-2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E43E08A" w14:textId="0415A3F1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Methods portion of the abstract states that consecutive patients were retrospectively included; Section 2.1 identifies the study as a single-center retrospective cohort.</w:t>
            </w:r>
          </w:p>
        </w:tc>
      </w:tr>
      <w:tr w:rsidR="00966B42" w14:paraId="6B8DE2EC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3006B94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Title and abstract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22BEFD3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1(b)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6A9C2A12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Provide in the abstract an informative and balanced summary of what was done and what was found.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406EC22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p. 1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89D7493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The abstract summarizes the background, methods, results, and conclusion, including sample size, END definition, predictors, model performance, and main conclusion.</w:t>
            </w:r>
          </w:p>
        </w:tc>
      </w:tr>
      <w:tr w:rsidR="00966B42" w14:paraId="5B96F857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D47686D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Introduction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77DFEA0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2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79E48F2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Explain the scientific background and rationale for the investigation being reported.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E613977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1-2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2E66400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The Introduction describes END after mechanical thrombectomy, the role of CT perfusion mismatch volume, and the need for multidimensional prediction models.</w:t>
            </w:r>
          </w:p>
        </w:tc>
      </w:tr>
      <w:tr w:rsidR="00966B42" w14:paraId="428A8A3E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9C1FF1E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Introduction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26506C1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3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68C0E052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State specific objectives, including any prespecified hypotheses.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A6A8B32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p. 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746ADC18" w14:textId="5517DD4B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final paragraph of the Introduction states the objectives: to assess the association between CTP mismatch volume and END and to develop two time-specific tools-a preprocedural baseline model and a 24-h reassessment model.</w:t>
            </w:r>
          </w:p>
        </w:tc>
      </w:tr>
      <w:tr w:rsidR="00966B42" w14:paraId="09839413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7E63A5F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65A4426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4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FF54663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Present key elements of study design early in the paper.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F9A22F9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p. 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73C9096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Section 2.1 states that this was a single-center retrospective cohort study.</w:t>
            </w:r>
          </w:p>
        </w:tc>
      </w:tr>
      <w:tr w:rsidR="00966B42" w14:paraId="56C54E7E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7D45E9E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93E9257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5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080DD44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Describe the setting, locations, and relevant dates, including periods of recruitment, exposure, follow-up, and data collection.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6AB51C05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2 and 4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100CD00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Section 2.1 reports the stroke center setting and enrollment from January 2021 to December 2024; Section 2.4 reports the 72-hour postoperative outcome assessment window.</w:t>
            </w:r>
          </w:p>
        </w:tc>
      </w:tr>
      <w:tr w:rsidR="00966B42" w14:paraId="73664648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A611B47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A605507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6(a)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CAAA60A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Cohort study - Give the eligibility criteria, and the sources and methods of selection of participants. Describe methods of follow-up.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9B0A5D3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2-4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8D6617A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Section 2.1 reports inclusion/exclusion criteria and consecutive enrollment; Section 2.4 reports NIHSS assessment time points through 72 hours after thrombectomy.</w:t>
            </w:r>
          </w:p>
        </w:tc>
      </w:tr>
      <w:tr w:rsidR="00966B42" w14:paraId="28C91EB6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5A32481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EBC3584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6(b)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55DDBD3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Cohort study - For matched studies, give matching criteria and number of exposed and unexposed.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CC70373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N/A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9DC056E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Not applicable because this was not a matched cohort study.</w:t>
            </w:r>
          </w:p>
        </w:tc>
      </w:tr>
      <w:tr w:rsidR="00966B42" w14:paraId="2EC13175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6ABE61D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BA7B0A4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7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B304FB4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Clearly define all outcomes, exposures, predictors, potential confounders, and effect modifiers. Give diagnostic criteria, if applicable.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76E9B37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3-5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94532F8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CTP mismatch volume and imaging definitions are provided in Section 2.2; END is defined in Section 2.4; clinical, laboratory, imaging, and treatment-related variables are listed in Section 2.5; analytic criteria are described in Section 2.6.</w:t>
            </w:r>
          </w:p>
        </w:tc>
      </w:tr>
      <w:tr w:rsidR="00966B42" w14:paraId="1BFCFBD9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493156B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59A98163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8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56D592CC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For each variable of interest, give sources of data and details of methods of assessment or measurement. Describe comparability of assessment methods if there is more than one group.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5A6D8229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3-4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62747DF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Sections 2.2-2.5 describe CTP acquisition and RAPID processing, thrombectomy assessment, NIHSS assessment, electronic medical record data collection, and ECASS-based hemorrhagic transformation classification.</w:t>
            </w:r>
          </w:p>
        </w:tc>
      </w:tr>
      <w:tr w:rsidR="00966B42" w14:paraId="1A084B4C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3567265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66F803B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9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E9734B8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Describe any efforts to address potential sources of bias.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9CE5627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2-5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BCBF1CE" w14:textId="79D09FA2" w:rsidR="003C6852" w:rsidRDefault="00AF3739">
            <w:pPr>
              <w:spacing w:after="0" w:line="240" w:lineRule="auto"/>
            </w:pPr>
            <w:r>
              <w:rPr>
                <w:sz w:val="15"/>
              </w:rPr>
              <w:t>Potential bias was addressed through consecutive enrollment, predefined eligibility criteria, standardized CTP processing and NIHSS assessments, independent review of hemorrhagic transformation, time-specific predictor eligibility, multiple imputation for missing data, and bootstrap internal validation.</w:t>
            </w:r>
          </w:p>
        </w:tc>
      </w:tr>
      <w:tr w:rsidR="00966B42" w14:paraId="0D33B1BA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B3D65D2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D780082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10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FB83F30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Explain how the study size was arrived at.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6A5CE49C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2-3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8BB1C27" w14:textId="56F2BA64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study included all consecutively eligible patients treated during the study period. Of 612 screened patients, 438 met the eligibility criteria and entered the primary analysis (Fig. 1).</w:t>
            </w:r>
          </w:p>
        </w:tc>
      </w:tr>
      <w:tr w:rsidR="00966B42" w14:paraId="6467BB28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335F0D5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764E111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11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41AF9CF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Explain how quantitative variables were handled in the analyses. If applicable, describe which groupings were chosen and why.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9EE2941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4-5 and 7-9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0B17F26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Section 2.6 describes presentation and tests for normally and non-normally distributed variables; Section 3.5 explains RCS-guided mismatch volume categories (&lt;75 mL, 75-105 mL, &gt;105 mL); Table 5 reports grouped and continuous predictors.</w:t>
            </w:r>
          </w:p>
        </w:tc>
      </w:tr>
      <w:tr w:rsidR="00966B42" w14:paraId="5186661D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7A83CC2A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D3C50E8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12(a)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7DF8B29D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Describe all statistical methods, including those used to control for confounding.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8E9252C" w14:textId="38E56FA9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4-5 and 8-10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343F7CE" w14:textId="18C1AC31" w:rsidR="003C6852" w:rsidRDefault="00AF3739">
            <w:pPr>
              <w:spacing w:after="0" w:line="240" w:lineRule="auto"/>
            </w:pPr>
            <w:r>
              <w:rPr>
                <w:sz w:val="15"/>
              </w:rPr>
              <w:t>Section 2.6 describes descriptive and group-comparison tests, multiple imputation, RCS analysis, prespecified covariate selection, multivariable logistic regression, VIF assessment, ROC analysis, calibration, DCA, bootstrap internal validation, and LASSO sensitivity analysis.</w:t>
            </w:r>
          </w:p>
        </w:tc>
      </w:tr>
      <w:tr w:rsidR="00966B42" w14:paraId="4F26082F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C083CEE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3163A7F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12(b)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6CEF148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Describe any methods used to examine subgroups and interactions.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C0B1427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N/A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010CA19" w14:textId="6C45D2CC" w:rsidR="003C6852" w:rsidRDefault="00AF3739">
            <w:pPr>
              <w:spacing w:after="0" w:line="240" w:lineRule="auto"/>
            </w:pPr>
            <w:r>
              <w:rPr>
                <w:sz w:val="15"/>
              </w:rPr>
              <w:t>Not applicable. The manuscript does not report formal subgroup analyses or interaction tests.</w:t>
            </w:r>
          </w:p>
        </w:tc>
      </w:tr>
      <w:tr w:rsidR="00966B42" w14:paraId="679432E9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114CA85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lastRenderedPageBreak/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5AA02D2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12(c)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63AF61A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Explain how missing data were addressed.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F001130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4-5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0A0100B" w14:textId="4DB4C3F6" w:rsidR="003C6852" w:rsidRDefault="00AF3739">
            <w:pPr>
              <w:spacing w:after="0" w:line="240" w:lineRule="auto"/>
            </w:pPr>
            <w:r>
              <w:rPr>
                <w:sz w:val="15"/>
              </w:rPr>
              <w:t>Section 2.6 states that key variables were complete and missingness for each other covariate was below 10%. Missing values were handled by multiple imputation by chained equations (m = 20), with estimates combined using Rubin's rules. Supplementary Table 1 reports missing-data patterns, and complete-case and worst-case analyses are reported as sensitivity analyses.</w:t>
            </w:r>
          </w:p>
        </w:tc>
      </w:tr>
      <w:tr w:rsidR="00966B42" w14:paraId="3710F886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B720856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0B6901B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12(d)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6C30C84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Cohort study - If applicable, explain how loss to follow-up was addressed.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3C3D9FA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2-4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B8E243D" w14:textId="4FCDE8F6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outcome window was limited to 72 h. Patients for whom both 72-h NIHSS and survival status could not be ascertained were excluded; deaths within 72 h were retained and classified as END events. No longer-term follow-up was analyzed.</w:t>
            </w:r>
          </w:p>
        </w:tc>
      </w:tr>
      <w:tr w:rsidR="00966B42" w14:paraId="4D8E95BB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11B07A5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Methods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5010C0D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12(e)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43810A9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Describe any sensitivity analyses.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65E3F73D" w14:textId="296F0B0C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4-5 and 8-10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7590C2D0" w14:textId="2407917F" w:rsidR="003C6852" w:rsidRDefault="00AF3739">
            <w:pPr>
              <w:spacing w:after="0" w:line="240" w:lineRule="auto"/>
            </w:pPr>
            <w:r>
              <w:rPr>
                <w:sz w:val="15"/>
              </w:rPr>
              <w:t>Section 2.6 prespecifies complete-case and worst-case sensitivity analyses and LASSO logistic regression. Section 3.6 and Figs. 6-7 report analyses counting early deaths as END, excluding deaths within 72 h, complete-case analysis, worst-case classification of indeterminate outcomes, and LASSO results.</w:t>
            </w:r>
          </w:p>
        </w:tc>
      </w:tr>
      <w:tr w:rsidR="00966B42" w14:paraId="59521A3D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212FD9F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D98C308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13(a)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87EF6ED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Report numbers of individuals at each stage of study, for example numbers potentially eligible, examined for eligibility, confirmed eligible, included in the study, completing follow-up, and analyzed.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9D3C6F3" w14:textId="3A821FAC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p. 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C8444D9" w14:textId="2D05E845" w:rsidR="003C6852" w:rsidRDefault="00AF3739">
            <w:pPr>
              <w:spacing w:after="0" w:line="240" w:lineRule="auto"/>
            </w:pPr>
            <w:r>
              <w:rPr>
                <w:sz w:val="15"/>
              </w:rPr>
              <w:t xml:space="preserve">Fig. 1 reports 612 patients screened, 174 excluded with reasons, and 438 included in the primary analysis. For the 24-h landmark analysis, 51 patients with END at or before 24 h were excluded; 387 patients entered the reassessment cohort, and 36 developed delayed </w:t>
            </w:r>
            <w:proofErr w:type="gramStart"/>
            <w:r>
              <w:rPr>
                <w:sz w:val="15"/>
              </w:rPr>
              <w:t>END</w:t>
            </w:r>
            <w:proofErr w:type="gramEnd"/>
            <w:r>
              <w:rPr>
                <w:sz w:val="15"/>
              </w:rPr>
              <w:t xml:space="preserve"> after &gt;24-72 h.</w:t>
            </w:r>
          </w:p>
        </w:tc>
      </w:tr>
      <w:tr w:rsidR="00966B42" w14:paraId="668E6AB7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DC57518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5B29F8E0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13(b)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743D9D70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Give reasons for non-participation at each stage.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7ACDB963" w14:textId="305C9CD4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p. 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14DF3CA" w14:textId="2C142AF3" w:rsidR="003C6852" w:rsidRDefault="00AF3739">
            <w:pPr>
              <w:spacing w:after="0" w:line="240" w:lineRule="auto"/>
            </w:pPr>
            <w:r>
              <w:rPr>
                <w:sz w:val="15"/>
              </w:rPr>
              <w:t xml:space="preserve">Fig. 1 reports each exclusion reason and count: posterior-circulation occlusion (n = 68), absent or unanalyzable preprocedural CTP (n = 39), </w:t>
            </w:r>
            <w:proofErr w:type="spellStart"/>
            <w:r>
              <w:rPr>
                <w:sz w:val="15"/>
              </w:rPr>
              <w:t>prestroke</w:t>
            </w:r>
            <w:proofErr w:type="spellEnd"/>
            <w:r>
              <w:rPr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mRS</w:t>
            </w:r>
            <w:proofErr w:type="spellEnd"/>
            <w:r>
              <w:rPr>
                <w:sz w:val="15"/>
              </w:rPr>
              <w:t xml:space="preserve"> &gt;2 (n = 22), severe comorbidity or terminal malignancy (n = 15), other severe intracranial lesions (n = 10), onset-to-puncture time &gt;24 h (n = 7), and inability to ascertain both 72-h NIHSS and survival status (n = 13).</w:t>
            </w:r>
          </w:p>
        </w:tc>
      </w:tr>
      <w:tr w:rsidR="00966B42" w14:paraId="2B58A66D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0A0E2A0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722B612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13(c)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9AF8EE1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Consider use of a flow diagram.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F0937D6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p. 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FAFEE60" w14:textId="20E8DE71" w:rsidR="003C6852" w:rsidRDefault="00AF3739">
            <w:pPr>
              <w:spacing w:after="0" w:line="240" w:lineRule="auto"/>
            </w:pPr>
            <w:r>
              <w:rPr>
                <w:sz w:val="15"/>
              </w:rPr>
              <w:t>Participant selection and flow are presented in Fig. 1 (patient selection flowchart), including the numbers screened, excluded with reasons, included in the primary analysis, and included in the 24-h landmark cohort.</w:t>
            </w:r>
          </w:p>
        </w:tc>
      </w:tr>
      <w:tr w:rsidR="00966B42" w14:paraId="0AEA0F39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2F57D5E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ED7237E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14(a)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E794FEC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Give characteristics of study participants and information on exposures and potential confounders.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EFBF596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5-7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3096810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Tables 1-4 report demographic, clinical, laboratory, imaging, and treatment-related characteristics by END status.</w:t>
            </w:r>
          </w:p>
        </w:tc>
      </w:tr>
      <w:tr w:rsidR="00966B42" w14:paraId="7FD84727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056B647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99BA0F4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14(b)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27A7E57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Indicate number of participants with missing data for each variable of interest.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04DB74E" w14:textId="20AA6A52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4-5 and Supplementary Table 1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07E142A" w14:textId="38D8B68F" w:rsidR="003C6852" w:rsidRDefault="00AF3739">
            <w:pPr>
              <w:spacing w:after="0" w:line="240" w:lineRule="auto"/>
            </w:pPr>
            <w:r>
              <w:rPr>
                <w:sz w:val="15"/>
              </w:rPr>
              <w:t>Section 2.6 states that key variables were complete and missingness for each other covariate was below 10%; Supplementary Table 1 describes the missing-data patterns.</w:t>
            </w:r>
          </w:p>
        </w:tc>
      </w:tr>
      <w:tr w:rsidR="00966B42" w14:paraId="3B00FBEA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72E9057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06431A6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14(c)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5ED17130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 xml:space="preserve">Cohort study - </w:t>
            </w:r>
            <w:proofErr w:type="spellStart"/>
            <w:r>
              <w:rPr>
                <w:sz w:val="15"/>
              </w:rPr>
              <w:t>Summarise</w:t>
            </w:r>
            <w:proofErr w:type="spellEnd"/>
            <w:r>
              <w:rPr>
                <w:sz w:val="15"/>
              </w:rPr>
              <w:t xml:space="preserve"> follow-up time, for example average and total amount.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3F02E02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p. 4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5021C7F6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END was assessed within 72 hours after mechanical thrombectomy, with scheduled NIHSS evaluations at 2, 24, 48, and 72 hours after surgery.</w:t>
            </w:r>
          </w:p>
        </w:tc>
      </w:tr>
      <w:tr w:rsidR="00966B42" w14:paraId="3F742251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FCD07CA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7B0AAAB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15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F905D99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Cohort study - Report numbers of outcome events or summary measures over time.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063C3F8" w14:textId="6CE069AF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5 and 7-9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E61F801" w14:textId="0FF72174" w:rsidR="003C6852" w:rsidRDefault="00AF3739">
            <w:pPr>
              <w:spacing w:after="0" w:line="240" w:lineRule="auto"/>
            </w:pPr>
            <w:r>
              <w:rPr>
                <w:sz w:val="15"/>
              </w:rPr>
              <w:t>Section 3.1 reports 87 END events among 438 patients (19.9%), including 78 patients with neurological worsening and 9 deaths within 72 h. Section 3.5 reports END frequencies across mismatch-volume categories, and Section 3.7 reports delayed END after &gt;24-72 h across the 24-h reassessment risk categories.</w:t>
            </w:r>
          </w:p>
        </w:tc>
      </w:tr>
      <w:tr w:rsidR="00966B42" w14:paraId="2D957FFD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65556340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7CD88B0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16(a)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30173C5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Give unadjusted estimates and, if applicable, confounder-adjusted estimates and their precision. Make clear which confounders were adjusted for and why they were included.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9C3305F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5-6 and 8-9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0238441" w14:textId="5CA4EACB" w:rsidR="003C6852" w:rsidRDefault="00AF3739">
            <w:pPr>
              <w:spacing w:after="0" w:line="240" w:lineRule="auto"/>
            </w:pPr>
            <w:r>
              <w:rPr>
                <w:sz w:val="15"/>
              </w:rPr>
              <w:t>Tables 1-4 report unadjusted group comparisons. Section 2.6 explains that candidate covariates were specified in advance from prior evidence, clinical importance, and availability at the prediction time. Table 5 reports crude, selected-covariate-adjusted, and fully adjusted ORs with 95% CIs and identifies the covariates included in Models 2 and 3.</w:t>
            </w:r>
          </w:p>
        </w:tc>
      </w:tr>
      <w:tr w:rsidR="00966B42" w14:paraId="62E258B4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B5BE699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FAA65AE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16(b)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770BA5D7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Report category boundaries when continuous variables were categorized.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4E61D06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3 and 7-9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AF422A7" w14:textId="6E219474" w:rsidR="003C6852" w:rsidRDefault="00AF3739">
            <w:pPr>
              <w:spacing w:after="0" w:line="240" w:lineRule="auto"/>
            </w:pPr>
            <w:r>
              <w:rPr>
                <w:sz w:val="15"/>
              </w:rPr>
              <w:t>Mismatch volume was categorized exploratorily as &lt;75 mL, 75-105 mL, and &gt;105 mL based on the RCS curve and observed risk pattern; collateral score was categorized as 0-1 versus 2-3. Table 5 reports ischemic core volume per 10 mL and admission NIHSS per 1 point.</w:t>
            </w:r>
          </w:p>
        </w:tc>
      </w:tr>
      <w:tr w:rsidR="00966B42" w14:paraId="62A8DD2F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071CAC8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87D28E2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16(c)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49631DC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 xml:space="preserve">If relevant, consider translating estimates of relative risk into absolute risk for a meaningful </w:t>
            </w:r>
            <w:proofErr w:type="gramStart"/>
            <w:r>
              <w:rPr>
                <w:sz w:val="15"/>
              </w:rPr>
              <w:t>time period</w:t>
            </w:r>
            <w:proofErr w:type="gramEnd"/>
            <w:r>
              <w:rPr>
                <w:sz w:val="15"/>
              </w:rPr>
              <w:t>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1036A8A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5 and 7-9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B1AEAA7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The manuscript reports absolute END incidence within 72 hours overall and by mismatch-volume subgroup.</w:t>
            </w:r>
          </w:p>
        </w:tc>
      </w:tr>
      <w:tr w:rsidR="00966B42" w14:paraId="67947868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33A5016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lastRenderedPageBreak/>
              <w:t>Results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F1F00B4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17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36AF9C0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Report other analyses done, for example analyses of subgroups and interactions, and sensitivity analyses.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9FBE4A3" w14:textId="19491E6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7-10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1F7F094C" w14:textId="725637C2" w:rsidR="003C6852" w:rsidRDefault="00AF3739">
            <w:pPr>
              <w:spacing w:after="0" w:line="240" w:lineRule="auto"/>
            </w:pPr>
            <w:r>
              <w:rPr>
                <w:sz w:val="15"/>
              </w:rPr>
              <w:t>Other analyses include RCS and correlation analyses, ROC analysis, calibration, DCA, bootstrap internal validation, sensitivity analyses addressing deaths and missing data, and LASSO sensitivity analyses (Sections 3.5-3.6; Figs. 3-7; Supplementary Tables 2-4). No formal subgroup or interaction analyses were reported.</w:t>
            </w:r>
          </w:p>
        </w:tc>
      </w:tr>
      <w:tr w:rsidR="00966B42" w14:paraId="7033A0C7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5DC18C7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Discussion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7AF72D2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18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0D4A4AE" w14:textId="77777777" w:rsidR="00966B42" w:rsidRDefault="00966B42" w:rsidP="00966B42">
            <w:pPr>
              <w:spacing w:after="0" w:line="240" w:lineRule="auto"/>
            </w:pPr>
            <w:proofErr w:type="spellStart"/>
            <w:r>
              <w:rPr>
                <w:sz w:val="15"/>
              </w:rPr>
              <w:t>Summarise</w:t>
            </w:r>
            <w:proofErr w:type="spellEnd"/>
            <w:r>
              <w:rPr>
                <w:sz w:val="15"/>
              </w:rPr>
              <w:t xml:space="preserve"> key results with reference to study objectives.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8BE5824" w14:textId="70A5F95F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9-10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9482802" w14:textId="7271E3A5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Discussion summarizes the 19.9% END frequency, the nonlinear association between mismatch volume and END, the time-separated baseline and 24-h models, and the association of parenchymal hematoma with delayed END.</w:t>
            </w:r>
          </w:p>
        </w:tc>
      </w:tr>
      <w:tr w:rsidR="00966B42" w14:paraId="726176B9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07ABDA26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Discussion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6DC8DFD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19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64006DE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 xml:space="preserve">Discuss limitations of the study, </w:t>
            </w:r>
            <w:proofErr w:type="gramStart"/>
            <w:r>
              <w:rPr>
                <w:sz w:val="15"/>
              </w:rPr>
              <w:t>taking into account</w:t>
            </w:r>
            <w:proofErr w:type="gramEnd"/>
            <w:r>
              <w:rPr>
                <w:sz w:val="15"/>
              </w:rPr>
              <w:t xml:space="preserve"> sources of potential bias or imprecision. Discuss both direction and magnitude of any potential bias.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515431F6" w14:textId="16372BC0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pp. 10-11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260D96DE" w14:textId="5D963380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limitations address selection and information bias, residual confounding and measurement error, internal derivation of categories and scores, restricted applicability of the 24-h landmark model, confounding by indication, the missing-at-random assumption, imprecision from few outcome events, and limited transportability across CTP platforms and processing settings.</w:t>
            </w:r>
          </w:p>
        </w:tc>
      </w:tr>
      <w:tr w:rsidR="00966B42" w14:paraId="4BD94158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0147A44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Discussion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4CA33B46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20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D25CB97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Give a cautious overall interpretation of results considering objectives, limitations, multiplicity of analyses, results from similar studies, and other relevant evidence.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E002D8F" w14:textId="77777777" w:rsidR="00966B42" w:rsidRPr="00966B42" w:rsidRDefault="00966B42" w:rsidP="00966B42">
            <w:pPr>
              <w:spacing w:after="0" w:line="240" w:lineRule="auto"/>
              <w:jc w:val="center"/>
            </w:pPr>
            <w:r w:rsidRPr="00966B42">
              <w:rPr>
                <w:sz w:val="15"/>
              </w:rPr>
              <w:t>pp. 9-11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07E0884A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The Discussion interprets the findings in relation to mismatch volume, core infarct volume, collateral circulation, recanalization, hemorrhagic transformation, model performance, and limitations.</w:t>
            </w:r>
          </w:p>
        </w:tc>
      </w:tr>
      <w:tr w:rsidR="00966B42" w14:paraId="2EF5D21F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8ACAB3A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Discussion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4331BD3E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21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6635BFF3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 xml:space="preserve">Discuss the </w:t>
            </w:r>
            <w:proofErr w:type="spellStart"/>
            <w:r>
              <w:rPr>
                <w:sz w:val="15"/>
              </w:rPr>
              <w:t>generalisability</w:t>
            </w:r>
            <w:proofErr w:type="spellEnd"/>
            <w:r>
              <w:rPr>
                <w:sz w:val="15"/>
              </w:rPr>
              <w:t xml:space="preserve"> or external validity of the study results.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711B19B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p. 11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</w:tcPr>
          <w:p w14:paraId="3CD76977" w14:textId="6C8FA65D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manuscript states that the proposed thresholds, scores, and potential applications require validation in independent multicenter cohorts and notes that CTP platform and processing differences may limit transportability.</w:t>
            </w:r>
          </w:p>
        </w:tc>
      </w:tr>
      <w:tr w:rsidR="00966B42" w14:paraId="0361D9FE" w14:textId="77777777" w:rsidTr="006367FD">
        <w:trPr>
          <w:cantSplit/>
          <w:jc w:val="center"/>
        </w:trPr>
        <w:tc>
          <w:tcPr>
            <w:tcW w:w="532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278ACB93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b/>
                <w:sz w:val="15"/>
              </w:rPr>
              <w:t>Other information</w:t>
            </w:r>
          </w:p>
        </w:tc>
        <w:tc>
          <w:tcPr>
            <w:tcW w:w="301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2B097DA" w14:textId="77777777" w:rsidR="00966B42" w:rsidRDefault="00966B42" w:rsidP="00966B42">
            <w:pPr>
              <w:spacing w:after="0" w:line="240" w:lineRule="auto"/>
              <w:jc w:val="center"/>
            </w:pPr>
            <w:r>
              <w:rPr>
                <w:sz w:val="15"/>
              </w:rPr>
              <w:t>22</w:t>
            </w:r>
          </w:p>
        </w:tc>
        <w:tc>
          <w:tcPr>
            <w:tcW w:w="2153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1BBE4AAF" w14:textId="77777777" w:rsidR="00966B42" w:rsidRDefault="00966B42" w:rsidP="00966B42">
            <w:pPr>
              <w:spacing w:after="0" w:line="240" w:lineRule="auto"/>
            </w:pPr>
            <w:r>
              <w:rPr>
                <w:sz w:val="15"/>
              </w:rPr>
              <w:t>Give the source of funding and the role of the funders for the present study and, if applicable, for the original study on which the present article is based.</w:t>
            </w:r>
          </w:p>
        </w:tc>
        <w:tc>
          <w:tcPr>
            <w:tcW w:w="579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6E43CFCC" w14:textId="77777777" w:rsidR="003C6852" w:rsidRDefault="00AF3739">
            <w:pPr>
              <w:spacing w:after="0" w:line="240" w:lineRule="auto"/>
              <w:jc w:val="center"/>
            </w:pPr>
            <w:r>
              <w:rPr>
                <w:sz w:val="15"/>
              </w:rPr>
              <w:t>p. 12</w:t>
            </w:r>
          </w:p>
        </w:tc>
        <w:tc>
          <w:tcPr>
            <w:tcW w:w="1435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3F6FA"/>
          </w:tcPr>
          <w:p w14:paraId="3A87B61A" w14:textId="5DEE1CA5" w:rsidR="003C6852" w:rsidRDefault="00AF3739">
            <w:pPr>
              <w:spacing w:after="0" w:line="240" w:lineRule="auto"/>
            </w:pPr>
            <w:r>
              <w:rPr>
                <w:sz w:val="15"/>
              </w:rPr>
              <w:t>The Funding section states that the research received no external funding.</w:t>
            </w:r>
          </w:p>
        </w:tc>
      </w:tr>
    </w:tbl>
    <w:p w14:paraId="5BF490E1" w14:textId="12CDBE49" w:rsidR="00CD442F" w:rsidRDefault="00691B27">
      <w:pPr>
        <w:spacing w:before="120" w:after="0"/>
      </w:pPr>
      <w:r>
        <w:rPr>
          <w:sz w:val="16"/>
        </w:rPr>
        <w:t>Note: Page numbers refer to the visible page numbers in the latest manuscript file (13 pages). "N/A" indicates an item not applicable to this study design.</w:t>
      </w:r>
    </w:p>
    <w:sectPr w:rsidR="00CD442F" w:rsidSect="006367FD">
      <w:headerReference w:type="default" r:id="rId8"/>
      <w:footerReference w:type="default" r:id="rId9"/>
      <w:pgSz w:w="11906" w:h="16838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39A40" w14:textId="77777777" w:rsidR="00AF3739" w:rsidRDefault="00AF3739">
      <w:pPr>
        <w:spacing w:line="240" w:lineRule="auto"/>
      </w:pPr>
      <w:r>
        <w:separator/>
      </w:r>
    </w:p>
  </w:endnote>
  <w:endnote w:type="continuationSeparator" w:id="0">
    <w:p w14:paraId="3DAFD020" w14:textId="77777777" w:rsidR="00AF3739" w:rsidRDefault="00AF3739">
      <w:pPr>
        <w:spacing w:line="240" w:lineRule="auto"/>
      </w:pPr>
      <w:r>
        <w:continuationSeparator/>
      </w:r>
    </w:p>
  </w:endnote>
  <w:endnote w:type="continuationNotice" w:id="1">
    <w:p w14:paraId="78BCFDA0" w14:textId="77777777" w:rsidR="00AF3739" w:rsidRDefault="00AF3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6FD00" w14:textId="77777777" w:rsidR="00CD442F" w:rsidRDefault="00CD442F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52426" w14:textId="77777777" w:rsidR="00AF3739" w:rsidRDefault="00AF3739">
      <w:pPr>
        <w:spacing w:after="0"/>
      </w:pPr>
      <w:r>
        <w:separator/>
      </w:r>
    </w:p>
  </w:footnote>
  <w:footnote w:type="continuationSeparator" w:id="0">
    <w:p w14:paraId="2FF5678F" w14:textId="77777777" w:rsidR="00AF3739" w:rsidRDefault="00AF3739">
      <w:pPr>
        <w:spacing w:after="0"/>
      </w:pPr>
      <w:r>
        <w:continuationSeparator/>
      </w:r>
    </w:p>
  </w:footnote>
  <w:footnote w:type="continuationNotice" w:id="1">
    <w:p w14:paraId="3846DF0F" w14:textId="77777777" w:rsidR="00AF3739" w:rsidRDefault="00AF37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6804E" w14:textId="77777777" w:rsidR="006367FD" w:rsidRDefault="006367F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0EE0"/>
    <w:rsid w:val="003C6852"/>
    <w:rsid w:val="0052013C"/>
    <w:rsid w:val="006367FD"/>
    <w:rsid w:val="00691B27"/>
    <w:rsid w:val="007C3290"/>
    <w:rsid w:val="0087242B"/>
    <w:rsid w:val="00966B42"/>
    <w:rsid w:val="00AA1D8D"/>
    <w:rsid w:val="00AF3739"/>
    <w:rsid w:val="00B47730"/>
    <w:rsid w:val="00B50066"/>
    <w:rsid w:val="00C26BE8"/>
    <w:rsid w:val="00CB0664"/>
    <w:rsid w:val="00CD442F"/>
    <w:rsid w:val="00D26E77"/>
    <w:rsid w:val="00FC693F"/>
    <w:rsid w:val="79C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B5D21C41-B4CF-4909-A3B2-D253F353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/>
    <w:lsdException w:name="toa heading" w:semiHidden="1" w:unhideWhenUsed="1"/>
    <w:lsdException w:name="List" w:unhideWhenUsed="1" w:qFormat="1"/>
    <w:lsdException w:name="List Bullet" w:unhideWhenUsed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/>
    <w:lsdException w:name="Medium Grid 1" w:uiPriority="67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/>
    <w:lsdException w:name="Medium List 1 Accent 2" w:uiPriority="65" w:qFormat="1"/>
    <w:lsdException w:name="Medium List 2 Accent 2" w:uiPriority="66" w:qFormat="1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 w:qFormat="1"/>
    <w:lsdException w:name="Medium Grid 3 Accent 3" w:uiPriority="69" w:qFormat="1"/>
    <w:lsdException w:name="Dark List Accent 3" w:uiPriority="70"/>
    <w:lsdException w:name="Colorful Shading Accent 3" w:uiPriority="71" w:qFormat="1"/>
    <w:lsdException w:name="Colorful List Accent 3" w:uiPriority="72" w:qFormat="1"/>
    <w:lsdException w:name="Colorful Grid Accent 3" w:uiPriority="73"/>
    <w:lsdException w:name="Light Shading Accent 4" w:uiPriority="60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 w:qFormat="1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1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pPr>
      <w:spacing w:after="200" w:line="276" w:lineRule="auto"/>
    </w:pPr>
    <w:rPr>
      <w:rFonts w:ascii="Times New Roman" w:eastAsia="Times New Roman" w:hAnsi="Times New Roman"/>
      <w:sz w:val="18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eastAsia="en-US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Cs w:val="18"/>
    </w:rPr>
  </w:style>
  <w:style w:type="paragraph" w:styleId="a0">
    <w:name w:val="List Bullet"/>
    <w:basedOn w:val="a1"/>
    <w:uiPriority w:val="99"/>
    <w:unhideWhenUsed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pPr>
      <w:spacing w:after="120"/>
    </w:pPr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d">
    <w:name w:val="head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paragraph" w:styleId="26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character" w:customStyle="1" w:styleId="ae">
    <w:name w:val="页眉 字符"/>
    <w:basedOn w:val="a2"/>
    <w:link w:val="ad"/>
    <w:uiPriority w:val="99"/>
  </w:style>
  <w:style w:type="character" w:customStyle="1" w:styleId="ac">
    <w:name w:val="页脚 字符"/>
    <w:basedOn w:val="a2"/>
    <w:link w:val="ab"/>
    <w:uiPriority w:val="99"/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3">
    <w:name w:val="标题 字符"/>
    <w:basedOn w:val="a2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副标题 字符"/>
    <w:basedOn w:val="a2"/>
    <w:link w:val="af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character" w:customStyle="1" w:styleId="a9">
    <w:name w:val="正文文本 字符"/>
    <w:basedOn w:val="a2"/>
    <w:link w:val="a8"/>
    <w:uiPriority w:val="99"/>
  </w:style>
  <w:style w:type="character" w:customStyle="1" w:styleId="25">
    <w:name w:val="正文文本 2 字符"/>
    <w:basedOn w:val="a2"/>
    <w:link w:val="24"/>
    <w:uiPriority w:val="99"/>
  </w:style>
  <w:style w:type="character" w:customStyle="1" w:styleId="35">
    <w:name w:val="正文文本 3 字符"/>
    <w:basedOn w:val="a2"/>
    <w:link w:val="34"/>
    <w:uiPriority w:val="99"/>
    <w:rPr>
      <w:sz w:val="16"/>
      <w:szCs w:val="16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  <w:style w:type="character" w:styleId="aff4">
    <w:name w:val="annotation reference"/>
    <w:basedOn w:val="a2"/>
    <w:uiPriority w:val="99"/>
    <w:semiHidden/>
    <w:unhideWhenUsed/>
    <w:rsid w:val="003C0EE0"/>
    <w:rPr>
      <w:sz w:val="21"/>
      <w:szCs w:val="21"/>
    </w:rPr>
  </w:style>
  <w:style w:type="paragraph" w:styleId="aff5">
    <w:name w:val="annotation text"/>
    <w:basedOn w:val="a1"/>
    <w:link w:val="aff6"/>
    <w:uiPriority w:val="99"/>
    <w:semiHidden/>
    <w:unhideWhenUsed/>
    <w:rsid w:val="003C0EE0"/>
  </w:style>
  <w:style w:type="character" w:customStyle="1" w:styleId="aff6">
    <w:name w:val="批注文字 字符"/>
    <w:basedOn w:val="a2"/>
    <w:link w:val="aff5"/>
    <w:uiPriority w:val="99"/>
    <w:semiHidden/>
    <w:rsid w:val="003C0EE0"/>
    <w:rPr>
      <w:rFonts w:ascii="Times New Roman" w:eastAsia="Times New Roman" w:hAnsi="Times New Roman"/>
      <w:sz w:val="18"/>
      <w:szCs w:val="22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C0EE0"/>
    <w:rPr>
      <w:b/>
      <w:bCs/>
    </w:rPr>
  </w:style>
  <w:style w:type="character" w:customStyle="1" w:styleId="aff8">
    <w:name w:val="批注主题 字符"/>
    <w:basedOn w:val="aff6"/>
    <w:link w:val="aff7"/>
    <w:uiPriority w:val="99"/>
    <w:semiHidden/>
    <w:rsid w:val="003C0EE0"/>
    <w:rPr>
      <w:rFonts w:ascii="Times New Roman" w:eastAsia="Times New Roman" w:hAnsi="Times New Roman"/>
      <w:b/>
      <w:bCs/>
      <w:sz w:val="18"/>
      <w:szCs w:val="22"/>
      <w:lang w:eastAsia="en-US"/>
    </w:rPr>
  </w:style>
  <w:style w:type="paragraph" w:styleId="aff9">
    <w:name w:val="Balloon Text"/>
    <w:basedOn w:val="a1"/>
    <w:link w:val="affa"/>
    <w:uiPriority w:val="99"/>
    <w:semiHidden/>
    <w:unhideWhenUsed/>
    <w:rsid w:val="003C0EE0"/>
    <w:pPr>
      <w:spacing w:after="0" w:line="240" w:lineRule="auto"/>
    </w:pPr>
    <w:rPr>
      <w:szCs w:val="18"/>
    </w:rPr>
  </w:style>
  <w:style w:type="character" w:customStyle="1" w:styleId="affa">
    <w:name w:val="批注框文本 字符"/>
    <w:basedOn w:val="a2"/>
    <w:link w:val="aff9"/>
    <w:uiPriority w:val="99"/>
    <w:semiHidden/>
    <w:rsid w:val="003C0EE0"/>
    <w:rPr>
      <w:rFonts w:ascii="Times New Roman" w:eastAsia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AA9DAD-EC03-4B89-B0A7-80758E66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1755</Words>
  <Characters>10004</Characters>
  <Application>Microsoft Office Word</Application>
  <DocSecurity>0</DocSecurity>
  <Lines>83</Lines>
  <Paragraphs>23</Paragraphs>
  <ScaleCrop>false</ScaleCrop>
  <Company/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Rita</cp:lastModifiedBy>
  <cp:revision>2</cp:revision>
  <dcterms:created xsi:type="dcterms:W3CDTF">2026-08-26T01:17:00Z</dcterms:created>
  <dcterms:modified xsi:type="dcterms:W3CDTF">2026-08-26T01:17:00Z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eyJoZGlkIjoiNTc0ZGY0NjdhN2U2NmU5NTcyOGZjMDA5NzcwN2E1NWEiLCJ1c2VySWQiOiIyOTMzMDE5NTMifQ==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DBF3C36981DA435F98CC97D5192D4C4E_12</vt:lpwstr>
  </property>
  <property fmtid="{D5CDD505-2E9C-101B-9397-08002B2CF9AE}" pid="5" name="GrammarlyDocumentId">
    <vt:lpwstr>d0aad819-7062-432a-9454-72be5672df60</vt:lpwstr>
  </property>
</Properties>
</file>